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E9A73" w14:textId="77777777" w:rsidR="003E7C77" w:rsidRPr="003E7C77" w:rsidRDefault="003E7C77" w:rsidP="003E7C77">
      <w:pPr>
        <w:pStyle w:val="Titre1"/>
        <w:rPr>
          <w:rFonts w:ascii="Times New Roman" w:hAnsi="Times New Roman" w:cs="Times New Roman"/>
          <w:sz w:val="24"/>
          <w:szCs w:val="24"/>
        </w:rPr>
      </w:pPr>
      <w:r w:rsidRPr="003E7C77">
        <w:rPr>
          <w:rFonts w:ascii="Times New Roman" w:hAnsi="Times New Roman" w:cs="Times New Roman"/>
          <w:sz w:val="24"/>
          <w:szCs w:val="24"/>
        </w:rPr>
        <w:t xml:space="preserve">6.43. </w:t>
      </w:r>
      <w:proofErr w:type="spellStart"/>
      <w:r w:rsidRPr="003E7C77">
        <w:rPr>
          <w:rFonts w:ascii="Times New Roman" w:hAnsi="Times New Roman" w:cs="Times New Roman"/>
          <w:sz w:val="24"/>
          <w:szCs w:val="24"/>
        </w:rPr>
        <w:t>Paintback</w:t>
      </w:r>
      <w:proofErr w:type="spellEnd"/>
      <w:r w:rsidRPr="003E7C77">
        <w:rPr>
          <w:rFonts w:ascii="Times New Roman" w:hAnsi="Times New Roman" w:cs="Times New Roman"/>
          <w:sz w:val="24"/>
          <w:szCs w:val="24"/>
        </w:rPr>
        <w:t xml:space="preserve"> ou la chasse aux croix gammées</w:t>
      </w:r>
    </w:p>
    <w:p w14:paraId="3AD7EDFE" w14:textId="77777777" w:rsidR="003E7C77" w:rsidRPr="003E7C77" w:rsidRDefault="003E7C77" w:rsidP="003E7C77">
      <w:pPr>
        <w:rPr>
          <w:rFonts w:ascii="Times New Roman" w:hAnsi="Times New Roman" w:cs="Times New Roman"/>
          <w:sz w:val="24"/>
          <w:szCs w:val="24"/>
        </w:rPr>
      </w:pPr>
    </w:p>
    <w:tbl>
      <w:tblPr>
        <w:tblW w:w="0" w:type="auto"/>
        <w:tblCellSpacing w:w="15" w:type="dxa"/>
        <w:tblCellMar>
          <w:top w:w="75" w:type="dxa"/>
          <w:left w:w="75" w:type="dxa"/>
          <w:bottom w:w="75" w:type="dxa"/>
          <w:right w:w="75" w:type="dxa"/>
        </w:tblCellMar>
        <w:tblLook w:val="04A0" w:firstRow="1" w:lastRow="0" w:firstColumn="1" w:lastColumn="0" w:noHBand="0" w:noVBand="1"/>
      </w:tblPr>
      <w:tblGrid>
        <w:gridCol w:w="201"/>
        <w:gridCol w:w="8871"/>
      </w:tblGrid>
      <w:tr w:rsidR="003E7C77" w:rsidRPr="003E7C77" w14:paraId="6DD59572" w14:textId="77777777" w:rsidTr="00FE243F">
        <w:trPr>
          <w:tblCellSpacing w:w="15" w:type="dxa"/>
        </w:trPr>
        <w:tc>
          <w:tcPr>
            <w:tcW w:w="0" w:type="auto"/>
            <w:hideMark/>
          </w:tcPr>
          <w:p w14:paraId="08D1F64E" w14:textId="77777777" w:rsidR="003E7C77" w:rsidRPr="003E7C77" w:rsidRDefault="003E7C77" w:rsidP="00FE243F">
            <w:pPr>
              <w:jc w:val="both"/>
              <w:rPr>
                <w:rFonts w:ascii="Times New Roman" w:hAnsi="Times New Roman" w:cs="Times New Roman"/>
                <w:sz w:val="24"/>
                <w:szCs w:val="24"/>
                <w:lang w:eastAsia="fr-BE"/>
              </w:rPr>
            </w:pPr>
          </w:p>
          <w:p w14:paraId="79E2B752" w14:textId="77777777" w:rsidR="003E7C77" w:rsidRPr="003E7C77" w:rsidRDefault="003E7C77" w:rsidP="00FE243F">
            <w:pPr>
              <w:jc w:val="both"/>
              <w:rPr>
                <w:rFonts w:ascii="Times New Roman" w:hAnsi="Times New Roman" w:cs="Times New Roman"/>
                <w:sz w:val="24"/>
                <w:szCs w:val="24"/>
                <w:lang w:eastAsia="fr-BE"/>
              </w:rPr>
            </w:pPr>
          </w:p>
        </w:tc>
        <w:tc>
          <w:tcPr>
            <w:tcW w:w="0" w:type="auto"/>
            <w:hideMark/>
          </w:tcPr>
          <w:p w14:paraId="099FAC58" w14:textId="77777777" w:rsidR="003E7C77" w:rsidRPr="003E7C77" w:rsidRDefault="003E7C77" w:rsidP="003E7C77">
            <w:pPr>
              <w:numPr>
                <w:ilvl w:val="0"/>
                <w:numId w:val="1"/>
              </w:numPr>
              <w:spacing w:before="100" w:beforeAutospacing="1" w:after="100" w:afterAutospacing="1" w:line="240" w:lineRule="auto"/>
              <w:jc w:val="both"/>
              <w:rPr>
                <w:rFonts w:ascii="Times New Roman" w:hAnsi="Times New Roman" w:cs="Times New Roman"/>
                <w:b/>
                <w:sz w:val="24"/>
                <w:szCs w:val="24"/>
                <w:lang w:eastAsia="fr-BE"/>
              </w:rPr>
            </w:pPr>
            <w:r w:rsidRPr="003E7C77">
              <w:rPr>
                <w:rFonts w:ascii="Times New Roman" w:hAnsi="Times New Roman" w:cs="Times New Roman"/>
                <w:b/>
                <w:sz w:val="24"/>
                <w:szCs w:val="24"/>
                <w:lang w:eastAsia="fr-BE"/>
              </w:rPr>
              <w:t>Situez cette initiative par rapport aux pistes de solutions proposées par R. Sennett. Soyez attentifs non seulement aux graffs, aux artistes mais également aux passants.</w:t>
            </w:r>
          </w:p>
          <w:p w14:paraId="4DA360A5" w14:textId="77777777" w:rsidR="003E7C77" w:rsidRPr="003E7C77" w:rsidRDefault="003E7C77" w:rsidP="00FE243F">
            <w:pPr>
              <w:spacing w:after="0" w:line="240" w:lineRule="auto"/>
              <w:ind w:left="1140"/>
              <w:jc w:val="both"/>
              <w:rPr>
                <w:rFonts w:ascii="Times New Roman" w:hAnsi="Times New Roman" w:cs="Times New Roman"/>
                <w:sz w:val="24"/>
                <w:szCs w:val="24"/>
              </w:rPr>
            </w:pPr>
          </w:p>
          <w:p w14:paraId="0FBF6805" w14:textId="77777777" w:rsidR="003E7C77" w:rsidRPr="003E7C77" w:rsidRDefault="003E7C77" w:rsidP="003E7C77">
            <w:pPr>
              <w:numPr>
                <w:ilvl w:val="1"/>
                <w:numId w:val="1"/>
              </w:numPr>
              <w:spacing w:after="0" w:line="240" w:lineRule="auto"/>
              <w:jc w:val="both"/>
              <w:rPr>
                <w:rFonts w:ascii="Times New Roman" w:hAnsi="Times New Roman" w:cs="Times New Roman"/>
                <w:sz w:val="24"/>
                <w:szCs w:val="24"/>
              </w:rPr>
            </w:pPr>
            <w:r w:rsidRPr="003E7C77">
              <w:rPr>
                <w:rFonts w:ascii="Times New Roman" w:hAnsi="Times New Roman" w:cs="Times New Roman"/>
                <w:b/>
                <w:sz w:val="24"/>
                <w:szCs w:val="24"/>
              </w:rPr>
              <w:t>Changements culturels</w:t>
            </w:r>
            <w:r w:rsidRPr="003E7C77">
              <w:rPr>
                <w:rFonts w:ascii="Times New Roman" w:hAnsi="Times New Roman" w:cs="Times New Roman"/>
                <w:sz w:val="24"/>
                <w:szCs w:val="24"/>
              </w:rPr>
              <w:t> : Il s’agit d’ouvrir l’individu à la différence.</w:t>
            </w:r>
          </w:p>
          <w:p w14:paraId="3D0645A2" w14:textId="77777777" w:rsidR="003E7C77" w:rsidRPr="003E7C77" w:rsidRDefault="003E7C77" w:rsidP="00FE243F">
            <w:pPr>
              <w:spacing w:after="0" w:line="240" w:lineRule="auto"/>
              <w:ind w:left="780"/>
              <w:jc w:val="both"/>
              <w:rPr>
                <w:rFonts w:ascii="Times New Roman" w:hAnsi="Times New Roman" w:cs="Times New Roman"/>
                <w:b/>
                <w:sz w:val="24"/>
                <w:szCs w:val="24"/>
              </w:rPr>
            </w:pPr>
          </w:p>
          <w:p w14:paraId="34AA2C12" w14:textId="77777777" w:rsidR="003E7C77" w:rsidRPr="003E7C77" w:rsidRDefault="003E7C77" w:rsidP="00FE243F">
            <w:pPr>
              <w:spacing w:after="0" w:line="240" w:lineRule="auto"/>
              <w:jc w:val="both"/>
              <w:rPr>
                <w:rFonts w:ascii="Times New Roman" w:hAnsi="Times New Roman" w:cs="Times New Roman"/>
                <w:sz w:val="24"/>
                <w:szCs w:val="24"/>
              </w:rPr>
            </w:pPr>
            <w:r w:rsidRPr="003E7C77">
              <w:rPr>
                <w:rFonts w:ascii="Times New Roman" w:hAnsi="Times New Roman" w:cs="Times New Roman"/>
                <w:sz w:val="24"/>
                <w:szCs w:val="24"/>
              </w:rPr>
              <w:t xml:space="preserve">A l’origine du projet, il y a un père soucieux de l’impact de ce symbole d’exclusion sur les enfants et les citadins en général. Plus que de le cacher, le collectif entend se réapproprier ce message et proposer une alternative au racisme. </w:t>
            </w:r>
          </w:p>
          <w:p w14:paraId="7F698EAB" w14:textId="77777777" w:rsidR="003E7C77" w:rsidRPr="003E7C77" w:rsidRDefault="003E7C77" w:rsidP="00FE243F">
            <w:pPr>
              <w:spacing w:after="0" w:line="240" w:lineRule="auto"/>
              <w:jc w:val="both"/>
              <w:rPr>
                <w:rFonts w:ascii="Times New Roman" w:hAnsi="Times New Roman" w:cs="Times New Roman"/>
                <w:sz w:val="24"/>
                <w:szCs w:val="24"/>
              </w:rPr>
            </w:pPr>
          </w:p>
          <w:p w14:paraId="0F93380D" w14:textId="77777777" w:rsidR="003E7C77" w:rsidRPr="003E7C77" w:rsidRDefault="003E7C77" w:rsidP="00FE243F">
            <w:pPr>
              <w:spacing w:after="0" w:line="240" w:lineRule="auto"/>
              <w:jc w:val="both"/>
              <w:rPr>
                <w:rFonts w:ascii="Times New Roman" w:hAnsi="Times New Roman" w:cs="Times New Roman"/>
                <w:sz w:val="24"/>
                <w:szCs w:val="24"/>
              </w:rPr>
            </w:pPr>
            <w:r w:rsidRPr="003E7C77">
              <w:rPr>
                <w:rFonts w:ascii="Times New Roman" w:hAnsi="Times New Roman" w:cs="Times New Roman"/>
                <w:sz w:val="24"/>
                <w:szCs w:val="24"/>
              </w:rPr>
              <w:t xml:space="preserve">Il s’agit d’un message « d’amour », « de tolérance » et de refus de l’exclusion de la part du collectif. Les graffs sont des traces matérielles humoristiques et de tolérance qui remplacent les symboles racistes au sein de l’espace publique. Elles sont visibles par les enfants, les citadins et les touristes. L’intérêt des passants qui filment cet engagement politique au sein de l’espace public montre l’impact que ces graffs peuvent avoir pour sensibiliser et s’interroger sur le rapport à l’autre. </w:t>
            </w:r>
          </w:p>
          <w:p w14:paraId="1DD9FD01" w14:textId="77777777" w:rsidR="003E7C77" w:rsidRPr="003E7C77" w:rsidRDefault="003E7C77" w:rsidP="00FE243F">
            <w:pPr>
              <w:spacing w:after="0" w:line="240" w:lineRule="auto"/>
              <w:jc w:val="both"/>
              <w:rPr>
                <w:rFonts w:ascii="Times New Roman" w:hAnsi="Times New Roman" w:cs="Times New Roman"/>
                <w:sz w:val="24"/>
                <w:szCs w:val="24"/>
              </w:rPr>
            </w:pPr>
            <w:r w:rsidRPr="003E7C77">
              <w:rPr>
                <w:rFonts w:ascii="Times New Roman" w:hAnsi="Times New Roman" w:cs="Times New Roman"/>
                <w:sz w:val="24"/>
                <w:szCs w:val="24"/>
              </w:rPr>
              <w:t>Ce phénomène s’est répandu en Europe</w:t>
            </w:r>
            <w:r>
              <w:rPr>
                <w:rFonts w:ascii="Times New Roman" w:hAnsi="Times New Roman" w:cs="Times New Roman"/>
                <w:sz w:val="24"/>
                <w:szCs w:val="24"/>
              </w:rPr>
              <w:t xml:space="preserve"> et a généré d’autres collectifs d’artistes impliqués. De la même manière, </w:t>
            </w:r>
            <w:r w:rsidRPr="003E7C77">
              <w:rPr>
                <w:rFonts w:ascii="Times New Roman" w:hAnsi="Times New Roman" w:cs="Times New Roman"/>
                <w:sz w:val="24"/>
                <w:szCs w:val="24"/>
              </w:rPr>
              <w:t xml:space="preserve">les images et </w:t>
            </w:r>
            <w:r>
              <w:rPr>
                <w:rFonts w:ascii="Times New Roman" w:hAnsi="Times New Roman" w:cs="Times New Roman"/>
                <w:sz w:val="24"/>
                <w:szCs w:val="24"/>
              </w:rPr>
              <w:t xml:space="preserve">les </w:t>
            </w:r>
            <w:r w:rsidRPr="003E7C77">
              <w:rPr>
                <w:rFonts w:ascii="Times New Roman" w:hAnsi="Times New Roman" w:cs="Times New Roman"/>
                <w:sz w:val="24"/>
                <w:szCs w:val="24"/>
              </w:rPr>
              <w:t>vidéos prises par les passants peuvent se répandre et prolonger le changement culturel via les réseaux sociaux.</w:t>
            </w:r>
          </w:p>
          <w:p w14:paraId="4ECBBE45" w14:textId="77777777" w:rsidR="003E7C77" w:rsidRPr="003E7C77" w:rsidRDefault="003E7C77" w:rsidP="00FE243F">
            <w:pPr>
              <w:ind w:left="360"/>
              <w:jc w:val="both"/>
              <w:rPr>
                <w:rFonts w:ascii="Times New Roman" w:hAnsi="Times New Roman" w:cs="Times New Roman"/>
                <w:sz w:val="24"/>
                <w:szCs w:val="24"/>
              </w:rPr>
            </w:pPr>
          </w:p>
          <w:p w14:paraId="794F2BAA" w14:textId="77777777" w:rsidR="003E7C77" w:rsidRPr="003E7C77" w:rsidRDefault="003E7C77" w:rsidP="003E7C77">
            <w:pPr>
              <w:numPr>
                <w:ilvl w:val="1"/>
                <w:numId w:val="1"/>
              </w:numPr>
              <w:spacing w:after="0" w:line="240" w:lineRule="auto"/>
              <w:jc w:val="both"/>
              <w:rPr>
                <w:rFonts w:ascii="Times New Roman" w:hAnsi="Times New Roman" w:cs="Times New Roman"/>
                <w:sz w:val="24"/>
                <w:szCs w:val="24"/>
              </w:rPr>
            </w:pPr>
            <w:r w:rsidRPr="003E7C77">
              <w:rPr>
                <w:rFonts w:ascii="Times New Roman" w:hAnsi="Times New Roman" w:cs="Times New Roman"/>
                <w:b/>
                <w:sz w:val="24"/>
                <w:szCs w:val="24"/>
              </w:rPr>
              <w:t>Changements matériels pour stimuler l’intérêt vers l’extérieu</w:t>
            </w:r>
            <w:r w:rsidRPr="003E7C77">
              <w:rPr>
                <w:rFonts w:ascii="Times New Roman" w:hAnsi="Times New Roman" w:cs="Times New Roman"/>
                <w:sz w:val="24"/>
                <w:szCs w:val="24"/>
              </w:rPr>
              <w:t xml:space="preserve">r : </w:t>
            </w:r>
          </w:p>
          <w:p w14:paraId="6D4B0759" w14:textId="77777777" w:rsidR="003E7C77" w:rsidRPr="003E7C77" w:rsidRDefault="003E7C77" w:rsidP="00FE243F">
            <w:pPr>
              <w:spacing w:after="0" w:line="240" w:lineRule="auto"/>
              <w:ind w:left="1140"/>
              <w:jc w:val="both"/>
              <w:rPr>
                <w:rFonts w:ascii="Times New Roman" w:hAnsi="Times New Roman" w:cs="Times New Roman"/>
                <w:sz w:val="24"/>
                <w:szCs w:val="24"/>
              </w:rPr>
            </w:pPr>
          </w:p>
          <w:p w14:paraId="7265E56E" w14:textId="77777777" w:rsidR="003E7C77" w:rsidRPr="003E7C77" w:rsidRDefault="003E7C77" w:rsidP="003E7C77">
            <w:pPr>
              <w:pStyle w:val="Paragraphedeliste"/>
              <w:numPr>
                <w:ilvl w:val="0"/>
                <w:numId w:val="4"/>
              </w:numPr>
              <w:spacing w:after="0" w:line="240" w:lineRule="auto"/>
              <w:jc w:val="both"/>
              <w:rPr>
                <w:rFonts w:ascii="Times New Roman" w:hAnsi="Times New Roman" w:cs="Times New Roman"/>
                <w:sz w:val="24"/>
                <w:szCs w:val="24"/>
              </w:rPr>
            </w:pPr>
            <w:r w:rsidRPr="003E7C77">
              <w:rPr>
                <w:rFonts w:ascii="Times New Roman" w:hAnsi="Times New Roman" w:cs="Times New Roman"/>
                <w:b/>
                <w:sz w:val="24"/>
                <w:szCs w:val="24"/>
              </w:rPr>
              <w:t>Créer l’ambiguïté</w:t>
            </w:r>
            <w:r w:rsidRPr="003E7C77">
              <w:rPr>
                <w:rFonts w:ascii="Times New Roman" w:hAnsi="Times New Roman" w:cs="Times New Roman"/>
                <w:sz w:val="24"/>
                <w:szCs w:val="24"/>
              </w:rPr>
              <w:t xml:space="preserve">, des possibilités de surprise </w:t>
            </w:r>
          </w:p>
          <w:p w14:paraId="4A1F8FCB" w14:textId="77777777" w:rsidR="003E7C77" w:rsidRPr="003E7C77" w:rsidRDefault="003E7C77" w:rsidP="00FE243F">
            <w:pPr>
              <w:spacing w:after="0" w:line="240" w:lineRule="auto"/>
              <w:jc w:val="both"/>
              <w:rPr>
                <w:rFonts w:ascii="Times New Roman" w:hAnsi="Times New Roman" w:cs="Times New Roman"/>
                <w:sz w:val="24"/>
                <w:szCs w:val="24"/>
              </w:rPr>
            </w:pPr>
          </w:p>
          <w:p w14:paraId="37DC28B3" w14:textId="77777777" w:rsidR="003E7C77" w:rsidRDefault="003E7C77" w:rsidP="00FE243F">
            <w:pPr>
              <w:spacing w:after="0" w:line="240" w:lineRule="auto"/>
              <w:jc w:val="both"/>
              <w:rPr>
                <w:rFonts w:ascii="Times New Roman" w:hAnsi="Times New Roman" w:cs="Times New Roman"/>
                <w:sz w:val="24"/>
                <w:szCs w:val="24"/>
              </w:rPr>
            </w:pPr>
            <w:r w:rsidRPr="003E7C77">
              <w:rPr>
                <w:rFonts w:ascii="Times New Roman" w:hAnsi="Times New Roman" w:cs="Times New Roman"/>
                <w:sz w:val="24"/>
                <w:szCs w:val="24"/>
              </w:rPr>
              <w:t xml:space="preserve">L’humour et l’« amour » présents dans ces graffs peuvent surprendre. Ces croix détournées en </w:t>
            </w:r>
            <w:proofErr w:type="spellStart"/>
            <w:r w:rsidRPr="003E7C77">
              <w:rPr>
                <w:rFonts w:ascii="Times New Roman" w:hAnsi="Times New Roman" w:cs="Times New Roman"/>
                <w:sz w:val="24"/>
                <w:szCs w:val="24"/>
              </w:rPr>
              <w:t>rubik’s</w:t>
            </w:r>
            <w:proofErr w:type="spellEnd"/>
            <w:r w:rsidRPr="003E7C77">
              <w:rPr>
                <w:rFonts w:ascii="Times New Roman" w:hAnsi="Times New Roman" w:cs="Times New Roman"/>
                <w:sz w:val="24"/>
                <w:szCs w:val="24"/>
              </w:rPr>
              <w:t xml:space="preserve"> cube, en moustique attrapé, en lapin tirant la langue peuvent procurer étonnement et amusement.</w:t>
            </w:r>
          </w:p>
          <w:p w14:paraId="14123F96" w14:textId="77777777" w:rsidR="003E7C77" w:rsidRPr="003E7C77" w:rsidRDefault="003E7C77" w:rsidP="00FE243F">
            <w:pPr>
              <w:spacing w:after="0" w:line="240" w:lineRule="auto"/>
              <w:jc w:val="both"/>
              <w:rPr>
                <w:rFonts w:ascii="Times New Roman" w:hAnsi="Times New Roman" w:cs="Times New Roman"/>
                <w:sz w:val="24"/>
                <w:szCs w:val="24"/>
              </w:rPr>
            </w:pPr>
          </w:p>
          <w:p w14:paraId="1B1E07D4" w14:textId="77777777" w:rsidR="003E7C77" w:rsidRPr="003E7C77" w:rsidRDefault="003E7C77" w:rsidP="003E7C77">
            <w:pPr>
              <w:pStyle w:val="Paragraphedeliste"/>
              <w:numPr>
                <w:ilvl w:val="0"/>
                <w:numId w:val="2"/>
              </w:numPr>
              <w:spacing w:after="0" w:line="240" w:lineRule="auto"/>
              <w:jc w:val="both"/>
              <w:rPr>
                <w:rFonts w:ascii="Times New Roman" w:hAnsi="Times New Roman" w:cs="Times New Roman"/>
                <w:b/>
                <w:sz w:val="24"/>
                <w:szCs w:val="24"/>
              </w:rPr>
            </w:pPr>
            <w:r w:rsidRPr="003E7C77">
              <w:rPr>
                <w:rFonts w:ascii="Times New Roman" w:hAnsi="Times New Roman" w:cs="Times New Roman"/>
                <w:b/>
                <w:sz w:val="24"/>
                <w:szCs w:val="24"/>
              </w:rPr>
              <w:t xml:space="preserve">Pratiquer un urbanisme soucieux du contexte spatio-temporel de l’espace à concevoir : garder de l’ancien et du nouveau. </w:t>
            </w:r>
          </w:p>
          <w:p w14:paraId="6A1F1B8B" w14:textId="77777777" w:rsidR="003E7C77" w:rsidRPr="003E7C77" w:rsidRDefault="003E7C77" w:rsidP="00FE243F">
            <w:pPr>
              <w:spacing w:after="0" w:line="240" w:lineRule="auto"/>
              <w:ind w:left="1140"/>
              <w:jc w:val="both"/>
              <w:rPr>
                <w:rFonts w:ascii="Times New Roman" w:hAnsi="Times New Roman" w:cs="Times New Roman"/>
                <w:sz w:val="24"/>
                <w:szCs w:val="24"/>
              </w:rPr>
            </w:pPr>
          </w:p>
          <w:p w14:paraId="467080EE" w14:textId="77777777" w:rsidR="003E7C77" w:rsidRDefault="003E7C77" w:rsidP="00FE243F">
            <w:pPr>
              <w:spacing w:after="0" w:line="240" w:lineRule="auto"/>
              <w:jc w:val="both"/>
              <w:rPr>
                <w:rFonts w:ascii="Times New Roman" w:hAnsi="Times New Roman" w:cs="Times New Roman"/>
                <w:sz w:val="24"/>
                <w:szCs w:val="24"/>
              </w:rPr>
            </w:pPr>
            <w:r w:rsidRPr="003E7C77">
              <w:rPr>
                <w:rFonts w:ascii="Times New Roman" w:hAnsi="Times New Roman" w:cs="Times New Roman"/>
                <w:sz w:val="24"/>
                <w:szCs w:val="24"/>
              </w:rPr>
              <w:t>Le fait de conserver les croix gammées n’est pas anodin. Il s’agit de montrer leur présence et l’importance d’autres propositions politiques. Cette conservation de l’ancien message renvoie au passé et au déplacement nécessaire selon ce collectif par rapport à l’histoire et les conséquences dramatiques du nazisme.</w:t>
            </w:r>
          </w:p>
          <w:p w14:paraId="650F17B4" w14:textId="77777777" w:rsidR="003E7C77" w:rsidRPr="003E7C77" w:rsidRDefault="003E7C77" w:rsidP="00FE243F">
            <w:pPr>
              <w:spacing w:after="0" w:line="240" w:lineRule="auto"/>
              <w:jc w:val="both"/>
              <w:rPr>
                <w:rFonts w:ascii="Times New Roman" w:hAnsi="Times New Roman" w:cs="Times New Roman"/>
                <w:sz w:val="24"/>
                <w:szCs w:val="24"/>
              </w:rPr>
            </w:pPr>
          </w:p>
          <w:p w14:paraId="0F0D4E27" w14:textId="77777777" w:rsidR="003E7C77" w:rsidRPr="003E7C77" w:rsidRDefault="003E7C77" w:rsidP="003E7C77">
            <w:pPr>
              <w:pStyle w:val="Paragraphedeliste"/>
              <w:numPr>
                <w:ilvl w:val="0"/>
                <w:numId w:val="2"/>
              </w:numPr>
              <w:spacing w:after="0" w:line="240" w:lineRule="auto"/>
              <w:jc w:val="both"/>
              <w:rPr>
                <w:rFonts w:ascii="Times New Roman" w:hAnsi="Times New Roman" w:cs="Times New Roman"/>
                <w:b/>
                <w:sz w:val="24"/>
                <w:szCs w:val="24"/>
              </w:rPr>
            </w:pPr>
            <w:r w:rsidRPr="003E7C77">
              <w:rPr>
                <w:rFonts w:ascii="Times New Roman" w:hAnsi="Times New Roman" w:cs="Times New Roman"/>
                <w:b/>
                <w:sz w:val="24"/>
                <w:szCs w:val="24"/>
              </w:rPr>
              <w:t xml:space="preserve">Affaiblir, rendre floues les frontières entre différents espaces. </w:t>
            </w:r>
          </w:p>
          <w:p w14:paraId="0C7BE804" w14:textId="77777777" w:rsidR="003E7C77" w:rsidRPr="003E7C77" w:rsidRDefault="003E7C77" w:rsidP="00FE243F">
            <w:pPr>
              <w:spacing w:after="0" w:line="240" w:lineRule="auto"/>
              <w:ind w:left="1140"/>
              <w:jc w:val="both"/>
              <w:rPr>
                <w:rFonts w:ascii="Times New Roman" w:hAnsi="Times New Roman" w:cs="Times New Roman"/>
                <w:sz w:val="24"/>
                <w:szCs w:val="24"/>
              </w:rPr>
            </w:pPr>
          </w:p>
          <w:p w14:paraId="08809DA0" w14:textId="77777777" w:rsidR="003E7C77" w:rsidRPr="003E7C77" w:rsidRDefault="003E7C77" w:rsidP="00FE243F">
            <w:pPr>
              <w:spacing w:after="0" w:line="240" w:lineRule="auto"/>
              <w:jc w:val="both"/>
              <w:rPr>
                <w:rFonts w:ascii="Times New Roman" w:hAnsi="Times New Roman" w:cs="Times New Roman"/>
                <w:sz w:val="24"/>
                <w:szCs w:val="24"/>
              </w:rPr>
            </w:pPr>
            <w:r w:rsidRPr="003E7C77">
              <w:rPr>
                <w:rFonts w:ascii="Times New Roman" w:hAnsi="Times New Roman" w:cs="Times New Roman"/>
                <w:sz w:val="24"/>
                <w:szCs w:val="24"/>
              </w:rPr>
              <w:t>Eventuellement, on peut considérer que ces artefacts affaiblissent les frontières entre espace publique et espace militant, espace jeux et espace politique.</w:t>
            </w:r>
          </w:p>
          <w:p w14:paraId="492BB121" w14:textId="77777777" w:rsidR="003E7C77" w:rsidRPr="003E7C77" w:rsidRDefault="003E7C77" w:rsidP="00FE243F">
            <w:pPr>
              <w:spacing w:after="0" w:line="240" w:lineRule="auto"/>
              <w:jc w:val="both"/>
              <w:rPr>
                <w:rFonts w:ascii="Times New Roman" w:hAnsi="Times New Roman" w:cs="Times New Roman"/>
                <w:sz w:val="24"/>
                <w:szCs w:val="24"/>
              </w:rPr>
            </w:pPr>
          </w:p>
          <w:p w14:paraId="2C372D0F" w14:textId="77777777" w:rsidR="003E7C77" w:rsidRPr="003E7C77" w:rsidRDefault="003E7C77" w:rsidP="003E7C77">
            <w:pPr>
              <w:numPr>
                <w:ilvl w:val="0"/>
                <w:numId w:val="1"/>
              </w:numPr>
              <w:spacing w:before="100" w:beforeAutospacing="1" w:after="100" w:afterAutospacing="1" w:line="240" w:lineRule="auto"/>
              <w:jc w:val="both"/>
              <w:rPr>
                <w:rFonts w:ascii="Times New Roman" w:hAnsi="Times New Roman" w:cs="Times New Roman"/>
                <w:sz w:val="24"/>
                <w:szCs w:val="24"/>
                <w:lang w:eastAsia="fr-BE"/>
              </w:rPr>
            </w:pPr>
            <w:r w:rsidRPr="003E7C77">
              <w:rPr>
                <w:rFonts w:ascii="Times New Roman" w:hAnsi="Times New Roman" w:cs="Times New Roman"/>
                <w:sz w:val="24"/>
                <w:szCs w:val="24"/>
                <w:lang w:eastAsia="fr-BE"/>
              </w:rPr>
              <w:lastRenderedPageBreak/>
              <w:t>Confrontez les œuvres produites par ce collectif avec la critique de l’œuvre d'art faite par R. Sennett.</w:t>
            </w:r>
          </w:p>
          <w:p w14:paraId="5BC86BC5" w14:textId="77777777" w:rsidR="003E7C77" w:rsidRPr="003E7C77" w:rsidRDefault="003E7C77" w:rsidP="00FE243F">
            <w:pPr>
              <w:spacing w:after="0" w:line="240" w:lineRule="auto"/>
              <w:jc w:val="both"/>
              <w:rPr>
                <w:rFonts w:ascii="Times New Roman" w:hAnsi="Times New Roman" w:cs="Times New Roman"/>
                <w:b/>
                <w:sz w:val="24"/>
                <w:szCs w:val="24"/>
              </w:rPr>
            </w:pPr>
            <w:r w:rsidRPr="003E7C77">
              <w:rPr>
                <w:rFonts w:ascii="Times New Roman" w:hAnsi="Times New Roman" w:cs="Times New Roman"/>
                <w:b/>
                <w:sz w:val="24"/>
                <w:szCs w:val="24"/>
              </w:rPr>
              <w:t>Selon Sennett, le rapport à l’œuvre d’art est inquiétant. On</w:t>
            </w:r>
            <w:r w:rsidRPr="003E7C77">
              <w:rPr>
                <w:rFonts w:ascii="Times New Roman" w:hAnsi="Times New Roman" w:cs="Times New Roman"/>
                <w:sz w:val="24"/>
                <w:szCs w:val="24"/>
              </w:rPr>
              <w:t xml:space="preserve"> ne peut toucher, modifier ces objets qui deviennent des objets de culte.</w:t>
            </w:r>
          </w:p>
          <w:p w14:paraId="32DB3DCF" w14:textId="77777777" w:rsidR="003E7C77" w:rsidRPr="003E7C77" w:rsidRDefault="003E7C77" w:rsidP="00FE243F">
            <w:pPr>
              <w:spacing w:before="100" w:beforeAutospacing="1" w:after="100" w:afterAutospacing="1" w:line="240" w:lineRule="auto"/>
              <w:jc w:val="both"/>
              <w:rPr>
                <w:rFonts w:ascii="Times New Roman" w:hAnsi="Times New Roman" w:cs="Times New Roman"/>
                <w:sz w:val="24"/>
                <w:szCs w:val="24"/>
                <w:lang w:eastAsia="fr-BE"/>
              </w:rPr>
            </w:pPr>
            <w:r w:rsidRPr="003E7C77">
              <w:rPr>
                <w:rFonts w:ascii="Times New Roman" w:hAnsi="Times New Roman" w:cs="Times New Roman"/>
                <w:sz w:val="24"/>
                <w:szCs w:val="24"/>
                <w:lang w:eastAsia="fr-BE"/>
              </w:rPr>
              <w:t xml:space="preserve">Les graffs sont réalisés dans la rue et peuvent être touchés physiquement mais plus fondamentalement, ils constituent un geste politique. Ils ne sont pas des objets de culte mais sont une action politique. Il s’agit bien d’une primauté de la qualité du lien entretenu avec eux. Il s’agit d’ailleurs essentiellement de cela. Ils sont réalisés à la demande des gens via le hashtag </w:t>
            </w:r>
            <w:proofErr w:type="spellStart"/>
            <w:r w:rsidRPr="003E7C77">
              <w:rPr>
                <w:rFonts w:ascii="Times New Roman" w:hAnsi="Times New Roman" w:cs="Times New Roman"/>
                <w:sz w:val="24"/>
                <w:szCs w:val="24"/>
                <w:lang w:eastAsia="fr-BE"/>
              </w:rPr>
              <w:t>Paintback</w:t>
            </w:r>
            <w:proofErr w:type="spellEnd"/>
            <w:r w:rsidRPr="003E7C77">
              <w:rPr>
                <w:rFonts w:ascii="Times New Roman" w:hAnsi="Times New Roman" w:cs="Times New Roman"/>
                <w:sz w:val="24"/>
                <w:szCs w:val="24"/>
                <w:lang w:eastAsia="fr-BE"/>
              </w:rPr>
              <w:t xml:space="preserve">. Leur utilité première est celle de l’interpellation. Ici les œuvres sont en interaction avec la vie des gens. Elles concernent leur rapport à l’altérité, les liens entre individus différents. </w:t>
            </w:r>
          </w:p>
          <w:p w14:paraId="1FDEEE7D" w14:textId="77777777" w:rsidR="003E7C77" w:rsidRPr="003E7C77" w:rsidRDefault="003E7C77" w:rsidP="003E7C77">
            <w:pPr>
              <w:numPr>
                <w:ilvl w:val="0"/>
                <w:numId w:val="1"/>
              </w:numPr>
              <w:spacing w:before="100" w:beforeAutospacing="1" w:after="100" w:afterAutospacing="1" w:line="240" w:lineRule="auto"/>
              <w:jc w:val="both"/>
              <w:rPr>
                <w:rFonts w:ascii="Times New Roman" w:hAnsi="Times New Roman" w:cs="Times New Roman"/>
                <w:b/>
                <w:sz w:val="24"/>
                <w:szCs w:val="24"/>
                <w:lang w:eastAsia="fr-BE"/>
              </w:rPr>
            </w:pPr>
            <w:r w:rsidRPr="003E7C77">
              <w:rPr>
                <w:rFonts w:ascii="Times New Roman" w:hAnsi="Times New Roman" w:cs="Times New Roman"/>
                <w:b/>
                <w:sz w:val="24"/>
                <w:szCs w:val="24"/>
                <w:lang w:eastAsia="fr-BE"/>
              </w:rPr>
              <w:t>Cette action permet-elle de lutter contre les dangers identifiés par R. Sennett ? A nouveau, tâchez d’envisager les différents intervenants.</w:t>
            </w:r>
          </w:p>
          <w:p w14:paraId="46700568" w14:textId="77777777" w:rsidR="003E7C77" w:rsidRPr="003E7C77" w:rsidRDefault="003E7C77" w:rsidP="003E7C77">
            <w:pPr>
              <w:numPr>
                <w:ilvl w:val="0"/>
                <w:numId w:val="3"/>
              </w:numPr>
              <w:spacing w:after="0" w:line="240" w:lineRule="auto"/>
              <w:jc w:val="both"/>
              <w:rPr>
                <w:rFonts w:ascii="Times New Roman" w:hAnsi="Times New Roman" w:cs="Times New Roman"/>
                <w:sz w:val="24"/>
                <w:szCs w:val="24"/>
              </w:rPr>
            </w:pPr>
            <w:r w:rsidRPr="003E7C77">
              <w:rPr>
                <w:rFonts w:ascii="Times New Roman" w:hAnsi="Times New Roman" w:cs="Times New Roman"/>
                <w:sz w:val="24"/>
                <w:szCs w:val="24"/>
              </w:rPr>
              <w:t>Le plus apparent danger contre lequel lutte ce collectif est celui de détruire l’altérité par la violence ou l’exclusion puisqu’il s’agit de s’opposer à l’exclusion et à la violence qui découle du message raciste.</w:t>
            </w:r>
          </w:p>
          <w:p w14:paraId="528C3202" w14:textId="77777777" w:rsidR="003E7C77" w:rsidRPr="003E7C77" w:rsidRDefault="003E7C77" w:rsidP="003E7C77">
            <w:pPr>
              <w:pStyle w:val="Paragraphedeliste"/>
              <w:numPr>
                <w:ilvl w:val="0"/>
                <w:numId w:val="3"/>
              </w:numPr>
              <w:spacing w:before="100" w:beforeAutospacing="1" w:after="100" w:afterAutospacing="1" w:line="240" w:lineRule="auto"/>
              <w:jc w:val="both"/>
              <w:rPr>
                <w:rFonts w:ascii="Times New Roman" w:hAnsi="Times New Roman" w:cs="Times New Roman"/>
                <w:sz w:val="24"/>
                <w:szCs w:val="24"/>
                <w:lang w:eastAsia="fr-BE"/>
              </w:rPr>
            </w:pPr>
            <w:r w:rsidRPr="003E7C77">
              <w:rPr>
                <w:rFonts w:ascii="Times New Roman" w:hAnsi="Times New Roman" w:cs="Times New Roman"/>
                <w:sz w:val="24"/>
                <w:szCs w:val="24"/>
              </w:rPr>
              <w:t xml:space="preserve">Ensuite, cette action stimule l’intérêt vers l’action collective. </w:t>
            </w:r>
            <w:r w:rsidRPr="003E7C77">
              <w:rPr>
                <w:rFonts w:ascii="Times New Roman" w:hAnsi="Times New Roman" w:cs="Times New Roman"/>
                <w:sz w:val="24"/>
                <w:szCs w:val="24"/>
                <w:lang w:eastAsia="fr-BE"/>
              </w:rPr>
              <w:t>Elle est un engagement politique d’un collectif d’artiste, visible dans l’espace public. Elle mobilise la population qui peut s’impliquer en signalant les croix gammées. Ces initiatives se passent devant les citadins et touristes, témoins de cette action collective. Le fait que ces derniers la photographient de leur smartphone montre qu’elle stimule leur intérêt.</w:t>
            </w:r>
          </w:p>
          <w:p w14:paraId="67675EA6" w14:textId="77777777" w:rsidR="003E7C77" w:rsidRPr="003E7C77" w:rsidRDefault="003E7C77" w:rsidP="003E7C77">
            <w:pPr>
              <w:numPr>
                <w:ilvl w:val="0"/>
                <w:numId w:val="3"/>
              </w:numPr>
              <w:spacing w:after="0" w:line="240" w:lineRule="auto"/>
              <w:jc w:val="both"/>
              <w:rPr>
                <w:rFonts w:ascii="Times New Roman" w:hAnsi="Times New Roman" w:cs="Times New Roman"/>
                <w:sz w:val="24"/>
                <w:szCs w:val="24"/>
              </w:rPr>
            </w:pPr>
            <w:r w:rsidRPr="003E7C77">
              <w:rPr>
                <w:rFonts w:ascii="Times New Roman" w:hAnsi="Times New Roman" w:cs="Times New Roman"/>
                <w:sz w:val="24"/>
                <w:szCs w:val="24"/>
              </w:rPr>
              <w:t xml:space="preserve">Enfin, cette découverte humoristique et de tolérance invite la découverte de l’altérité. Cette initiative lutte indirectement contre l’appauvrissement de la vie personnelle car elle incite à s’intéresser à cette problématique politique et plus largement, à l’altérité. </w:t>
            </w:r>
          </w:p>
          <w:p w14:paraId="03A7040A" w14:textId="77777777" w:rsidR="003E7C77" w:rsidRPr="003E7C77" w:rsidRDefault="003E7C77" w:rsidP="003E7C77">
            <w:pPr>
              <w:numPr>
                <w:ilvl w:val="0"/>
                <w:numId w:val="1"/>
              </w:numPr>
              <w:spacing w:before="100" w:beforeAutospacing="1" w:after="100" w:afterAutospacing="1" w:line="240" w:lineRule="auto"/>
              <w:jc w:val="both"/>
              <w:rPr>
                <w:rFonts w:ascii="Times New Roman" w:hAnsi="Times New Roman" w:cs="Times New Roman"/>
                <w:sz w:val="24"/>
                <w:szCs w:val="24"/>
                <w:lang w:eastAsia="fr-BE"/>
              </w:rPr>
            </w:pPr>
            <w:r w:rsidRPr="003E7C77">
              <w:rPr>
                <w:rFonts w:ascii="Times New Roman" w:hAnsi="Times New Roman" w:cs="Times New Roman"/>
                <w:sz w:val="24"/>
                <w:szCs w:val="24"/>
                <w:lang w:eastAsia="fr-BE"/>
              </w:rPr>
              <w:t>Comparez l'effet de ce collectif sur le vivre ensemble à la vision normative du lien social qu'élabore  Sennett.</w:t>
            </w:r>
          </w:p>
          <w:p w14:paraId="39529F2B" w14:textId="77777777" w:rsidR="003E7C77" w:rsidRPr="003E7C77" w:rsidRDefault="003E7C77" w:rsidP="00FE243F">
            <w:pPr>
              <w:spacing w:before="100" w:beforeAutospacing="1" w:after="100" w:afterAutospacing="1" w:line="240" w:lineRule="auto"/>
              <w:ind w:left="420"/>
              <w:jc w:val="both"/>
              <w:rPr>
                <w:rFonts w:ascii="Times New Roman" w:hAnsi="Times New Roman" w:cs="Times New Roman"/>
                <w:sz w:val="24"/>
                <w:szCs w:val="24"/>
                <w:lang w:eastAsia="fr-BE"/>
              </w:rPr>
            </w:pPr>
            <w:r w:rsidRPr="003E7C77">
              <w:rPr>
                <w:rFonts w:ascii="Times New Roman" w:hAnsi="Times New Roman" w:cs="Times New Roman"/>
                <w:sz w:val="24"/>
                <w:szCs w:val="24"/>
                <w:lang w:eastAsia="fr-BE"/>
              </w:rPr>
              <w:t>En refusant l’expression publique de l’exclusion, cette implication dans l’espace public en faveur de la tolérance et de l’amour est proche de la conception normative de Sennett. Il s’agit d’une implication des citoyens dans l’espace public de manière ouverte à l’altérité.</w:t>
            </w:r>
          </w:p>
          <w:p w14:paraId="31B0FC8E" w14:textId="77777777" w:rsidR="003E7C77" w:rsidRPr="003E7C77" w:rsidRDefault="003E7C77" w:rsidP="00FE243F">
            <w:pPr>
              <w:spacing w:before="100" w:beforeAutospacing="1" w:after="100" w:afterAutospacing="1"/>
              <w:ind w:left="420"/>
              <w:jc w:val="both"/>
              <w:rPr>
                <w:rFonts w:ascii="Times New Roman" w:hAnsi="Times New Roman" w:cs="Times New Roman"/>
                <w:sz w:val="24"/>
                <w:szCs w:val="24"/>
                <w:lang w:eastAsia="fr-BE"/>
              </w:rPr>
            </w:pPr>
          </w:p>
        </w:tc>
      </w:tr>
    </w:tbl>
    <w:p w14:paraId="35D329A8" w14:textId="77777777" w:rsidR="00000000" w:rsidRPr="003E7C77" w:rsidRDefault="00000000">
      <w:pPr>
        <w:rPr>
          <w:rFonts w:ascii="Times New Roman" w:hAnsi="Times New Roman" w:cs="Times New Roman"/>
          <w:sz w:val="24"/>
          <w:szCs w:val="24"/>
        </w:rPr>
      </w:pPr>
    </w:p>
    <w:sectPr w:rsidR="00371A23" w:rsidRPr="003E7C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6F58"/>
    <w:multiLevelType w:val="hybridMultilevel"/>
    <w:tmpl w:val="C4A6C894"/>
    <w:lvl w:ilvl="0" w:tplc="040C0001">
      <w:start w:val="1"/>
      <w:numFmt w:val="bullet"/>
      <w:lvlText w:val=""/>
      <w:lvlJc w:val="left"/>
      <w:pPr>
        <w:ind w:left="1860" w:hanging="360"/>
      </w:pPr>
      <w:rPr>
        <w:rFonts w:ascii="Symbol" w:hAnsi="Symbol"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1" w15:restartNumberingAfterBreak="0">
    <w:nsid w:val="0E2844B4"/>
    <w:multiLevelType w:val="hybridMultilevel"/>
    <w:tmpl w:val="7EF28E54"/>
    <w:lvl w:ilvl="0" w:tplc="E57C4B70">
      <w:start w:val="1"/>
      <w:numFmt w:val="decimal"/>
      <w:lvlText w:val="%1."/>
      <w:lvlJc w:val="left"/>
      <w:pPr>
        <w:ind w:left="420" w:hanging="360"/>
      </w:pPr>
      <w:rPr>
        <w:rFonts w:hint="default"/>
      </w:rPr>
    </w:lvl>
    <w:lvl w:ilvl="1" w:tplc="080C0019">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2" w15:restartNumberingAfterBreak="0">
    <w:nsid w:val="2B9B11A1"/>
    <w:multiLevelType w:val="hybridMultilevel"/>
    <w:tmpl w:val="A086CDBE"/>
    <w:lvl w:ilvl="0" w:tplc="040C0001">
      <w:start w:val="1"/>
      <w:numFmt w:val="bullet"/>
      <w:lvlText w:val=""/>
      <w:lvlJc w:val="left"/>
      <w:pPr>
        <w:ind w:left="1860" w:hanging="360"/>
      </w:pPr>
      <w:rPr>
        <w:rFonts w:ascii="Symbol" w:hAnsi="Symbol"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3" w15:restartNumberingAfterBreak="0">
    <w:nsid w:val="4B9B3F5F"/>
    <w:multiLevelType w:val="hybridMultilevel"/>
    <w:tmpl w:val="19763A04"/>
    <w:lvl w:ilvl="0" w:tplc="040C0001">
      <w:start w:val="1"/>
      <w:numFmt w:val="bullet"/>
      <w:lvlText w:val=""/>
      <w:lvlJc w:val="left"/>
      <w:pPr>
        <w:ind w:left="420" w:hanging="360"/>
      </w:pPr>
      <w:rPr>
        <w:rFonts w:ascii="Symbol" w:hAnsi="Symbol" w:hint="default"/>
      </w:rPr>
    </w:lvl>
    <w:lvl w:ilvl="1" w:tplc="080C0019">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num w:numId="1" w16cid:durableId="401098344">
    <w:abstractNumId w:val="1"/>
  </w:num>
  <w:num w:numId="2" w16cid:durableId="895312967">
    <w:abstractNumId w:val="2"/>
  </w:num>
  <w:num w:numId="3" w16cid:durableId="10038696">
    <w:abstractNumId w:val="3"/>
  </w:num>
  <w:num w:numId="4" w16cid:durableId="89099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12"/>
    <w:rsid w:val="001B70AD"/>
    <w:rsid w:val="001F3AE5"/>
    <w:rsid w:val="001F4115"/>
    <w:rsid w:val="002746EF"/>
    <w:rsid w:val="00353F12"/>
    <w:rsid w:val="003727EC"/>
    <w:rsid w:val="003E7C77"/>
    <w:rsid w:val="007804F3"/>
    <w:rsid w:val="009D66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498BA"/>
  <w15:chartTrackingRefBased/>
  <w15:docId w15:val="{74CF7131-3534-4113-83EB-2CFF0274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77"/>
    <w:rPr>
      <w:lang w:val="fr-BE"/>
    </w:rPr>
  </w:style>
  <w:style w:type="paragraph" w:styleId="Titre1">
    <w:name w:val="heading 1"/>
    <w:basedOn w:val="Normal"/>
    <w:next w:val="Normal"/>
    <w:link w:val="Titre1Car"/>
    <w:uiPriority w:val="9"/>
    <w:qFormat/>
    <w:rsid w:val="003E7C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E7C77"/>
    <w:rPr>
      <w:rFonts w:asciiTheme="majorHAnsi" w:eastAsiaTheme="majorEastAsia" w:hAnsiTheme="majorHAnsi" w:cstheme="majorBidi"/>
      <w:color w:val="2E74B5" w:themeColor="accent1" w:themeShade="BF"/>
      <w:sz w:val="32"/>
      <w:szCs w:val="32"/>
      <w:lang w:val="fr-BE"/>
    </w:rPr>
  </w:style>
  <w:style w:type="paragraph" w:styleId="Paragraphedeliste">
    <w:name w:val="List Paragraph"/>
    <w:basedOn w:val="Normal"/>
    <w:uiPriority w:val="34"/>
    <w:qFormat/>
    <w:rsid w:val="003E7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696</Words>
  <Characters>3830</Characters>
  <Application>Microsoft Office Word</Application>
  <DocSecurity>0</DocSecurity>
  <Lines>31</Lines>
  <Paragraphs>9</Paragraphs>
  <ScaleCrop>false</ScaleCrop>
  <Company>FUNDP</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Pierre</dc:creator>
  <cp:keywords/>
  <dc:description/>
  <cp:lastModifiedBy>Laurence Dumortier</cp:lastModifiedBy>
  <cp:revision>2</cp:revision>
  <dcterms:created xsi:type="dcterms:W3CDTF">2026-05-08T09:32:00Z</dcterms:created>
  <dcterms:modified xsi:type="dcterms:W3CDTF">2026-05-08T09:32:00Z</dcterms:modified>
</cp:coreProperties>
</file>